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SymbolMT" w:eastAsia="SymbolMT" w:hAnsi="TimesNewRoman" w:cs="SymbolMT"/>
          <w:sz w:val="16"/>
          <w:szCs w:val="16"/>
          <w:vertAlign w:val="superscript"/>
          <w:lang w:val="de-DE"/>
        </w:rPr>
      </w:pPr>
      <w:r w:rsidRPr="00F94A5A">
        <w:rPr>
          <w:rFonts w:ascii="Arial" w:hAnsi="Arial" w:cs="Arial"/>
          <w:sz w:val="24"/>
          <w:szCs w:val="24"/>
          <w:lang w:val="de-DE"/>
        </w:rPr>
        <w:t>Franz-Joseph Meißner</w:t>
      </w:r>
      <w:r w:rsidRPr="00F94A5A">
        <w:rPr>
          <w:rFonts w:ascii="MS Gothic" w:eastAsia="MS Gothic" w:hAnsi="MS Gothic" w:cs="MS Gothic" w:hint="eastAsia"/>
          <w:sz w:val="16"/>
          <w:szCs w:val="16"/>
          <w:vertAlign w:val="superscript"/>
          <w:lang w:val="de-DE"/>
        </w:rPr>
        <w:t>∗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38"/>
          <w:szCs w:val="38"/>
          <w:lang w:val="de-DE"/>
        </w:rPr>
      </w:pPr>
      <w:bookmarkStart w:id="0" w:name="_GoBack"/>
      <w:bookmarkEnd w:id="0"/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38"/>
          <w:szCs w:val="38"/>
          <w:lang w:val="de-DE"/>
        </w:rPr>
      </w:pPr>
      <w:r w:rsidRPr="00F94A5A">
        <w:rPr>
          <w:rFonts w:ascii="TimesNewRoman" w:hAnsi="TimesNewRoman" w:cs="TimesNewRoman"/>
          <w:sz w:val="38"/>
          <w:szCs w:val="38"/>
          <w:lang w:val="de-DE"/>
        </w:rPr>
        <w:t>Qualität Entwickeln –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38"/>
          <w:szCs w:val="38"/>
          <w:lang w:val="de-DE"/>
        </w:rPr>
      </w:pPr>
      <w:r w:rsidRPr="00F94A5A">
        <w:rPr>
          <w:rFonts w:ascii="TimesNewRoman" w:hAnsi="TimesNewRoman" w:cs="TimesNewRoman"/>
          <w:sz w:val="38"/>
          <w:szCs w:val="38"/>
          <w:lang w:val="de-DE"/>
        </w:rPr>
        <w:t>Neue Wege in Unterricht und Lehrerbildung.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  <w:lang w:val="de-DE"/>
        </w:rPr>
      </w:pPr>
      <w:r w:rsidRPr="00F94A5A">
        <w:rPr>
          <w:rFonts w:ascii="TimesNewRoman" w:hAnsi="TimesNewRoman" w:cs="TimesNewRoman"/>
          <w:sz w:val="28"/>
          <w:szCs w:val="28"/>
          <w:lang w:val="de-DE"/>
        </w:rPr>
        <w:t>Eröffnungsrede anlässlich des gleichnamigen Kongresses des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8"/>
          <w:szCs w:val="28"/>
          <w:lang w:val="de-DE"/>
        </w:rPr>
        <w:t xml:space="preserve">Gesamtverbandes Moderne Fremdsprachen </w:t>
      </w:r>
      <w:r w:rsidRPr="00F94A5A">
        <w:rPr>
          <w:rFonts w:ascii="TimesNewRoman" w:hAnsi="TimesNewRoman" w:cs="TimesNewRoman"/>
          <w:sz w:val="28"/>
          <w:szCs w:val="28"/>
          <w:lang w:val="de-DE"/>
        </w:rPr>
        <w:t>an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  <w:lang w:val="de-DE"/>
        </w:rPr>
      </w:pPr>
      <w:r w:rsidRPr="00F94A5A">
        <w:rPr>
          <w:rFonts w:ascii="TimesNewRoman" w:hAnsi="TimesNewRoman" w:cs="TimesNewRoman"/>
          <w:sz w:val="28"/>
          <w:szCs w:val="28"/>
          <w:lang w:val="de-DE"/>
        </w:rPr>
        <w:t>Universität Leipzig am 27. März 2008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Das Motto des Leipziger Kongresses des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Gesamtverbandes Moderne Fremdsprachen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–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Qualität entwickeln. Neue Wege in Unterricht und Lehrerbildung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antwortet auf Fragen,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seit PISA I die deutsche Öffentlichkeit stellt.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Qualitätsentwicklung, Bildungsstandards,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Kompetenzorientierung, Tests, Leistungs- und Vergleichsstudien, TOSCA, DESI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und jüngst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DEZIBEL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sind Begriffe und Akronyme mit in den letzten Jahren bemerkenswert hoher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Konjunktur. Mehr als anderen Fächern verleihen dem Fremdsprachenunterricht zudem dessen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neue Instrumente für Kompetenzmessung und Lerndiagnostik und Lernförderung bereits eine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europäische Dimension; so der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Gemeinsame Europäische Referenzrahmen für Sprachen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: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lernen, lehren, beurteilen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(Berlin u. München: Langenscheidt 2001), so das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Europäische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Sprachenportfolio (ESP).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Qualitätsentwicklung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schafft einen Markt. Mit TestDaF, DELF, TOEFL usw. erzielt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Sprachindustrie hohe Gewinne. Qualitätskontrolle ist Ausdruck von Professionalität. Die in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den Fremdsprachendidaktiken längst vor PISA (2000) bekannte Diskussion – zu erinnern ist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an die VHS-Zertifikate der 1970er Jahre – verbindet sich allerdings seit 2000 mit Defiziten im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Schulwesen der deutschen Länder, die zuvor noch den eigenen ‚Output’ ohne den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vergleichenden Blick nach außen eher über den grünen Klee zu loben pflegten</w:t>
      </w:r>
      <w:r w:rsidRPr="00F94A5A">
        <w:rPr>
          <w:rFonts w:ascii="TimesNewRoman" w:hAnsi="TimesNewRoman" w:cs="TimesNewRoman"/>
          <w:sz w:val="16"/>
          <w:szCs w:val="16"/>
          <w:lang w:val="de-DE"/>
        </w:rPr>
        <w:t>1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Doch gibt es auch Grund zur Kritik: Wer evaluiert die Qualität derer, die Qualitätsmerkmale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beschreiben und messen? Dass sich mit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Assessment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eine kolossale Aufwertung der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Assessoren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verbindet, versteht sich von selbst. Vergleiche zu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high stake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-Tests in US-Schulen zeigen, dass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diese dazu neigen zu mogeln, indem sie schwächere Leistungen dem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Assessment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vorenthalten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(Schirp 2006). Auch hierzulande stehen Schulen in Konkurrenz zueinander... – Und zur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inhaltsbezogenen Kritik an einer vorgeblichen ‚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Testitis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>’: Führt der zu häufige Blick auf den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Output über ein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Teaching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to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the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test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zu einer Verkürzung des Erziehungsauftrags oder gar zur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inhaltlichen Ausdünnung des auf ‚Kommunikation’ reduzierten Fremdsprachenunterrichts?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Offene Fragen – viele Praxen – unterschiedliche Antworten.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Doch zurück zur Kompetenzorientierung! Im Jahr 2006 (246) bilanzieren Köller et al. den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rezeptiven Kompetenzstand für Englisch: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In Realschulen erreichen mehr als zwei Drittel der Schülerinnen und Schüler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Kompetenzen auf oder über Niveau A2. Das durch die Standards für den Mittleren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Bildungsabschluss vorgegebene Niveau B1 erreichen hier über 40 Prozent. Das Niveau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C1 ist auf der Realschule nicht anzutreffen. (...) Am Gymnasium liegen rund 90 Prozent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der Schülerinnen und Schüler am Ende der 9. Jahrgangsstufe auf oder über Niveau B1.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Etwa zehn Prozent der Gymnasiasten erreichen bereits das Niveau C1. (...) Über 40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Prozent der Leistungskursschüler erreichten die Niveaus C1/C2...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Vergleichbare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Leistungsstandserhebungen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liegen für andere Fremdsprachen nicht vor.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Signalisiert dies für sich genommen bereits eine Verengung des Blicks? Englischunterricht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deckt Fremdsprachenunterricht ebenso wenig ab wie das Englische die Sprachenvielfalt.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lastRenderedPageBreak/>
        <w:t>‚Neben der Muttersprache mindestens zwei moderne EU-Sprachen operabel können’ lautet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das europäische Lernziel. Aber Deutschland verfehlt dieses selbst im gymnasialen Bereich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weitgehend (Annex, Doc 1), weil Schülerinnen und Schüler zu wenige Sprachen belegen. </w:t>
      </w:r>
      <w:r w:rsidRPr="00F94A5A">
        <w:rPr>
          <w:rFonts w:ascii="TimesNewRoman" w:hAnsi="TimesNewRoman" w:cs="TimesNewRoman"/>
          <w:sz w:val="24"/>
          <w:szCs w:val="24"/>
          <w:lang w:val="en-GB"/>
        </w:rPr>
        <w:t>So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proofErr w:type="spellStart"/>
      <w:r w:rsidRPr="00F94A5A">
        <w:rPr>
          <w:rFonts w:ascii="TimesNewRoman" w:hAnsi="TimesNewRoman" w:cs="TimesNewRoman"/>
          <w:sz w:val="24"/>
          <w:szCs w:val="24"/>
          <w:lang w:val="en-GB"/>
        </w:rPr>
        <w:t>verweisen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en-GB"/>
        </w:rPr>
        <w:t xml:space="preserve"> die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en-GB"/>
        </w:rPr>
        <w:t xml:space="preserve">Key Data on Teaching Languages at School in Europe </w:t>
      </w:r>
      <w:r w:rsidRPr="00F94A5A">
        <w:rPr>
          <w:rFonts w:ascii="TimesNewRoman" w:hAnsi="TimesNewRoman" w:cs="TimesNewRoman"/>
          <w:sz w:val="24"/>
          <w:szCs w:val="24"/>
          <w:lang w:val="en-GB"/>
        </w:rPr>
        <w:t>von Eurydice (2005: 48)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Deutschland, bezogen auf das Gesamt der Schülerschaft (über 9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Mio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>), zusammen mit Italien –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in beiden Ländern belegen die Schüler der Sekundarstufe I pro Kopf 1,2 Fremdsprachen – nur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auf Rang 11 von 15 bei 16 Teilnehmern. In der Sekundarstufe II kann Deutschland, blickt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man auf die Breite und Tiefe des Unterrichts in mehreren Fremdsprachen (wie es sich in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Zahl von Kursen und dem Verhältnis von Grundkursen zu Leistungskursen ausdrückt), nicht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als eine einheitliche Bildungslandschaft gelten. So zeigten die Belegzahlen für ‚Sprachen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außer Englisch und Latein’ in der Jahrgangsstufe 12 im Europäischen Jahr der Sprachen 2001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zwischen Rheinland-Pfalz auf der einen Seite und Mecklenburg-Vorpommern, Nordrhein-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Westfalen und Bayern auf </w:t>
      </w:r>
      <w:proofErr w:type="gramStart"/>
      <w:r w:rsidRPr="00F94A5A">
        <w:rPr>
          <w:rFonts w:ascii="TimesNewRoman" w:hAnsi="TimesNewRoman" w:cs="TimesNewRoman"/>
          <w:sz w:val="24"/>
          <w:szCs w:val="24"/>
          <w:lang w:val="de-DE"/>
        </w:rPr>
        <w:t>der anderen Unterschiede</w:t>
      </w:r>
      <w:proofErr w:type="gram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von bis zu 50 Prozent und sogar mehr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(Meißner &amp; Lang 2005)</w:t>
      </w:r>
      <w:r w:rsidRPr="00F94A5A">
        <w:rPr>
          <w:rFonts w:ascii="TimesNewRoman" w:hAnsi="TimesNewRoman" w:cs="TimesNewRoman"/>
          <w:sz w:val="16"/>
          <w:szCs w:val="16"/>
          <w:lang w:val="de-DE"/>
        </w:rPr>
        <w:t>2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. Dass die Kenntnis mehrerer Schulsprachen Auswirkungen auf das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Verhalten von Studierenden und Erwachsenen ausübt, weitere Sprachen zu erlernen und zu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vertiefen bzw. ein Auslandsstudium anzustreben, konnte ebenfalls nachgewiesen werden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(Meißner &amp; Beckmann 2008).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Leistungsbeschreibungen von Schule müssen daher die Vielfalt der real belegten Sprachen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berücksichtigen, ansonsten greifen sie zu kurz. Zu entwickeln sind daher eine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Quantitative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Bildungsforschung Fremdsprachen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; des Weiteren zuverlässige Instrumente zur Messung von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‚Mehrsprachenkompetenz’. Würde sich die deutsche Gesellschaft breit und nicht nur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rhetorisch zur ‚individuellen Mehrsprachigkeit’ bekennen (Sprachenberatung, aber auch ein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Blick auf Luxemburg oder die Niederlande wäre hilfreich), so könnten sich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‚Mehrsprachentests’ als ein wirksames Steuerungs- und Motivationsinstrument erweisen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.</w:t>
      </w:r>
      <w:r w:rsidRPr="00F94A5A">
        <w:rPr>
          <w:rFonts w:ascii="TimesNewRoman" w:hAnsi="TimesNewRoman" w:cs="TimesNewRoman"/>
          <w:sz w:val="16"/>
          <w:szCs w:val="16"/>
          <w:vertAlign w:val="superscript"/>
          <w:lang w:val="de-DE"/>
        </w:rPr>
        <w:t>3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Nicht nur Experten wissen, dass der entscheidende Faktor für die Qualität von Unterricht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berufsbezogene Qualität der Lehrerbildung – der 1. und 2. Phase sowie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Lehrerfortbildung – ist. Im Jahre 1988 stellte die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Frühjahrskonferenz zur Erforschung des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Fremdsprachenunterrichts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die Frage (Bausch et al. 1988), ob es Fortschritte im Unterricht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fremder Sprachen gebe..., um sie nahezu einhellig zu bejahen. Als Ursachen wurden damals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die Aufsicht des Staates über die Lehrerausbildung, über Abschlussprofile (Abitur) und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Lehrpläne und den Unterricht genannt. Zwar sind seither die Motive für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Qualitätsentwicklung die gleichen geblieben, doch haben sich die Instrumente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Qualitätskontrolle deutlich verfeinert und sie sind auch zunehmend präsent im Unterricht.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Doch muss es gerade angesichts einer Politik, die Qualitätskontrolle erklärtermaßen sehr hoch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einschätzt, überraschen, dass in Deutschland immer noch zahlreiche Universitäten Lehrende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fremder Sprachen ausbilden, ohne in der Fachdidaktik elementarste Qualitätskriterien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akademischen Unterrichts zu beachten, gemeint ist die ‚Einheit von ‚Forschung und Lehre’.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Diese ist allein durch die Existenz von einschlägigen Professuren gewährleistet, denn nur sie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können den Nachwuchs formal und fachdidaktisch eindeutig qualifizieren, d. h.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fachdidaktische Promotionen und Habilitationen betreuen. Die Sprachlehrforschung verfügt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längst über quantitative und qualitative empirische Verfahren, um das Aktionsfeld von Lehren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und Lernen/Lehrenden und </w:t>
      </w:r>
      <w:proofErr w:type="gramStart"/>
      <w:r w:rsidRPr="00F94A5A">
        <w:rPr>
          <w:rFonts w:ascii="TimesNewRoman" w:hAnsi="TimesNewRoman" w:cs="TimesNewRoman"/>
          <w:sz w:val="24"/>
          <w:szCs w:val="24"/>
          <w:lang w:val="de-DE"/>
        </w:rPr>
        <w:t>Lernenden</w:t>
      </w:r>
      <w:proofErr w:type="gram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fremder Sprachen wissenschaftlich zu erfassen.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Studierenden lernen in der 1. Phase, die in Lehr- und Lernprozessen interagierenden Faktoren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und ihre Komplexion zu verstehen und das Forschungsdesign entsprechender Studien in ihrer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Bedeutung für die eigene Praxis einzuschätzen. Die Fachwissenschaften sind überfordert,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wenn um Fragen geht, die nur von einer Handlungswissenschaft beantwortet werden können.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Auch die </w:t>
      </w:r>
      <w:proofErr w:type="gramStart"/>
      <w:r w:rsidRPr="00F94A5A">
        <w:rPr>
          <w:rFonts w:ascii="TimesNewRoman" w:hAnsi="TimesNewRoman" w:cs="TimesNewRoman"/>
          <w:sz w:val="24"/>
          <w:szCs w:val="24"/>
          <w:lang w:val="de-DE"/>
        </w:rPr>
        <w:t>Allgemeine</w:t>
      </w:r>
      <w:proofErr w:type="gram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Didaktik bzw. die Erziehungswissenschaften können die Fachdidaktik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nicht ersetzen, denn Lernen ist weitgehend gegenstandsspezifisch. Die 2. Phase umfasst zwar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lastRenderedPageBreak/>
        <w:t>ein theoretisch gut basiertes Unterrichtstraining. Dies ist nicht hoch genug einzuschätzen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(sofern auch in der 2. Phase die Grundbedingungen für Qualitätssicherung erfüllt sind). Doch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ersetzt die 2. Phase nicht die Begegnung mit auf Fachunterricht abhebender Forschung. Fazit: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Eine Reihe deutscher Länder erfüllt grundlegende Qualitätskriterien für die Lehrerausbildung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in der 1. Phase nicht oder nur sehr unzureichend. Sie entlässt junge Lehrerinnen und Lehrer in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eine Jahrzehnte währende Praxis, ohne dass diese Einsicht in jene Wissenschaft bekommen,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die ihr berufliches Handeln erforscht.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Die Ministerien reichen, auf die Defizite angesprochen, den Schwarzen Peter an die an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Lehrerbildung beteiligten Universitäten und diese wiederum an die betroffenen Institute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weiter. Verhindern diese nun eine forschungsintensive Fachdidaktik, etwa weil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Fachwissenschaftler wegen augenfälliger Eigeninteressen die fachdidaktische Komponente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für eine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quantité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négligeable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halten? Man würde in einer solchen Haltung nicht nur eine Art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Ignoranz gegenüber der Fachdidaktik vermuten, sondern auch einen Mangel an Sensibilität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für die vitalen Interessen der Lehrerbildung und damit der Gesellschaft erkennen, denn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selbstverständlich müssen zukünftige Lehrende lernen, sich das, was sie täglich tun, auf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vermittlungswissenschaftlicher Grundlage transparent zu machen (Meißner 2007).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An der Qualitätsentwicklung von Fachunterricht haben die Fachverbände nicht unwesentlich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Anteil. – Die im GMF zusammengeschlossenen Verbände sind – jeder für sich oder in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bewährter Zusammenarbeit u. a. mit den Fortbildungsinstituten der Länder – wichtige Träger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der Fortbildung. So kann allein die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Vereinigung der Französischlehrerinnen und -lehrer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,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ich weit über ein Jahrzehnt vorstand, zwischen 1993 und 2004 in Deutschland und Frankreich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rund 20.000 Fortbildungsfälle (Lehrende, die an Veranstaltungen teilnahmen, die von der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VdF</w:t>
      </w:r>
      <w:proofErr w:type="spellEnd"/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alleine oder mit Partnern durchgeführt wurden) verbuchen. Einen großen Anteil hatten die im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Zweijahres-Rhythmus stattfindenden Tagungen der Landesverbände. Hier wird ein enormes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ehrenamtliches Engagement sichtbar, das Anerkennung verdient. Ich weiß, dass der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Deutsche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Spanischlehrerverband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(DSV) auf vergleichbare Zahlen kommt; ebenso die weiteren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Verbände im GMF in Proportion zur Zahl der Lehrenden ihrer Sprachen. Auch der FMF hat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auf diesem Feld hervorragende Verdienste. Diese betrafen allein im Rahmen der hinter uns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liegenden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k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onvergierenden Prozesse die </w:t>
      </w:r>
      <w:proofErr w:type="gramStart"/>
      <w:r w:rsidRPr="00F94A5A">
        <w:rPr>
          <w:rFonts w:ascii="TimesNewRoman" w:hAnsi="TimesNewRoman" w:cs="TimesNewRoman"/>
          <w:sz w:val="24"/>
          <w:szCs w:val="24"/>
          <w:lang w:val="de-DE"/>
        </w:rPr>
        <w:t>Gemeinsamen</w:t>
      </w:r>
      <w:proofErr w:type="gram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Kongresse in Nürnberg 2006 und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Bremen 2005. Extrapoliert man auf der Grundlage der genannten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VdF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>-Zahl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Fortbildungsfälle der Verbände insgesamt, so ist eine kritische Zahl von rund 100.000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keineswegs aus der Luft gegriffen und eher zu niedrig denn zu hoch. Die gute Qualität von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auf den Kongressen und Lehrertagen gebotenen Beiträgen ist in einer Vielzahl von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Publikationen belegt. Leipzig 2008 führt diese Tradition weiter.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Der GMF ist als ein Verband der Verbände viel mehr als eine Arbeitsgemeinschaft derselben.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Dies lässt sich an strukturellen Merkmalen ablesen: (A) Das Präsidium des GMF wird von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Delegierten aller im GMF zusammengeschlossenen Verbände gewählt. (B) Für den Austritt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eines Verbandes aus dem GMF gilt dasselbe Quorum wie das für dessen Auflösung. (C)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Transversale Arbeitsgemeinschaften behandeln als Strukturelemente des GMF Themen,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über das Interessensfeld monolingualer Verbände hinausgehen: Lehrerbildung, Sprachen- und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Schulpolitik, Schulentwicklung, Mehrsprachigkeitsdidaktik, Vielsprachigkeit und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Gesellschaft, Sprachenberatung, Testformate, Stundentafeln, Qualitätssicherung usw. So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knüpft der GMF auch an die Stärken des FMF an: Gemeint sind vor allem die Konzepte zur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Sprachenpolitik. Den monolingualen Verbänden fällt es eher schwer, eine die konkrete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Zielsprache übergreifende Vision für die Entwicklung von Fremdsprachenunterricht zu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entwerfen. So will der GMF zu Gunsten seiner Sprachenverbände alle Vorteile realisieren,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ein integrativer Mehrsprachenverband bieten kann. Zugleich möchte er auf die von den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monolingualen Verbänden in nahezu vier Jahrzehnten erworbene fachspezifische Expertise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lastRenderedPageBreak/>
        <w:t>und sprachenspezifischen Mitglieder-Service nicht verzichten. Die heutigen GMF-Verbände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(in alphabetischer Reihenfolge der Sprachen) – Fachverband Chinesisch, Deutsch im GMF,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Englisch &amp; Mehrsprachigkeit, Vereinigung der Französischlehrerinnen und Französischlehrer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e.V., Fachvereinigung Japanisch, Fachvereinigung Niederländisch, Fachverband Russisch im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GMF, Deutscher Spanischlehrerverband – weitere sind in Gründung – verfolgen über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Vorteile von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l’union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fait la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force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hinaus das Ziel von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ex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pluribus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unum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–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aber nicht auf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Kosten, sondern zur Förderung der GMF-Verbände und ihrer Sprachen.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In die bis in das Jahr 1880 zurückreichende Geschichte der deutschen Sprachenverbände wird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die Gründung des GMF (2007) bzw. der Leipziger Kongress 2008 als ein herausragendes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Ereignis eingehen. Es schließt an das Jahr 1886 an, in dem die Umbenennung des 1880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gegründeten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Vereins für neue Sprachen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in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Allgemeiner Deutscher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Neuphilologenverband</w:t>
      </w:r>
      <w:proofErr w:type="spellEnd"/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erfolgte; sodann an 1972, wo der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ADNP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zum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Fachverband Moderne Fremdsprachen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wurde.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Die Neugründung antwortete auf ein verändertes Umfeld, das seit 1970 von der Entstehung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rasch wachsender monolingualer Verbände gekennzeichnet war. Das Verhältnis der Verbände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war in den folgenden Jahren von heftiger Konkurrenz geprägt. Diese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Querelle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d’allemand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–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so das französische Wort für einen ‚unproduktiven Streit’ - fasste Konrad Schröder 1992 in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einem wegweisenden Titel zusammen: ‚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Difficile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est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satiram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non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scribere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>’. Erwachsen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geworden begannen die Verbände indes mehr das Gemeinsame als das Trennende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6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wahrzunehmen. Die monolingualen Verbände erfuhren in einem sich vereinenden Europa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Multilateralität einerseits rasch die Grenzen der Wirksamkeit des Werbens für eine einzige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Sprache gegen alle anderen; andererseits gelang es dem Mehrsprachenverband in den Augen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der Mitglieder monolingualer Verbände – die ja viel zahlreicher waren als die des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Mehrsprachenverbandes – nicht wirklich, glaubhaft für alle Sprachen zu sprechen. Auch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konnte eine einzige didaktische Zeitschrift für alle Sprachen nicht das leisten, was eine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Zeitschrift für jeweils eine Sprache transportieren konnte. Der GMF gibt alle Vorteile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mono- und des vormaligen multilingualen Verbandes an die Mitglieder weiter.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Die Entwicklungen gingen mit längst oft genannten berufssoziologisch einschneidenden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Veränderungen einher: Der klassische ‚Neuphilologe’ mit der Fächerkombination Englisch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und Französisch ist in die Minderheit geraten und Kombinationen nur einer Fremdsprache mit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einem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Sachfach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oder mit Deutsch fanden verbreiteten Anklang; neue moderne Schulsprachen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verlangten eine Ausbildung von Lehrenden in diesen Sprachen. Was dies auf Verbandsebene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bedeutet, zeigt am eindrucksvollsten der Deutsche Spanischlehrer-Verband, der nahezu 30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Prozent aller Lehrenden für das Spanisch organisiert.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Manche unter Ihnen, liebe Kolleginnen und Kollegen, sind, wie ich, gestern Zeugen eines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bewegenden Erlebnisses geworden, dass wir nie ganz vergessen werden können: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Delegiertenkonferenz des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Fachverbandes Moderne Fremdsprachen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hat dessen Auflösung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beschlossen. Sie hat das Notwendige getan, um den FMF im GMF aufgehen zu lassen.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Schritt war überfällig, weil sich in der Struktur des FMF der Zusammenschluss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Sprachenverbände zu einem wirksamen Gesamtverband nicht verwirklichen ließ. Die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Auflösung des FMF auf Bundesebene ist Anlass, die Verdienste unmissverständlich zu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unterstreichen, die sich dieser große Verband seit 1972 als eine maßgebliche Kraft auf dem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Feld der Fremdsprachen in Deutschland erworben hat. Es ist darauf hinzuweisen, dass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FMF wesentlichen Anteil an der Entstehung des GMF hatte und dessen Gesicht zusammen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mit den anderen Verbänden des GMF prägt. Schon dies erklärt, warum die ideelle Substanz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des FMF im GMF fortlebt und sich der GMF zu dieser auch ausdrücklich bekennt, denn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‚Mehrsprachigkeit und deren Förderung’ lautet die Leitlinie des GMF. Die Kontinuität wird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auch in den Personen sichtbar, die sich im alten Mehrsprachenverband FMF engagierten und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lastRenderedPageBreak/>
        <w:t>die nun in dem um vielen Tausend Mitglieder größeren Gesamtverband die gute Tradition des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FMF weitertragen. Wie das Jahr 1972 für die Gründung des FMF steht, so antwortet 2008 mit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der Gründung des GMF (2007) und dem ersten - dem Leipziger - Kongress des GMF auf neue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Herausforderungen einer durch Europäisierung und Globalisierung gekennzeichneten Zeit.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7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Ich darf daran erinnern, dass der GMF auf einen immensen Konsens der Mitglieder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Verbände (einschließlich der des vormaligen FMF) beruht, wie schon die eindeutigen Voten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der Mitgliederversammlungen der Verbände deutlich machen. Dies wurde in den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Abstimmungen der Gremien der Einzelverbände einschließlich des FMF sowie in einer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Mitgliederbefragung der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VdF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deutlich. Der GMF genießt auch bei den politischen Partnern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weiteste Zustimmung. So verbindet sich mit der Auflösung des FMF, auf dessen Leistung wir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mit Stolz zurückblicken (und mit Dank an diejenigen, die diese Leistungen ermöglichten)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Blick nach vorne. Dabei richtigen sich nun die Hoffnungen auf den GMF, der sich in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Verpflichtung weiß, das Bewährte fortzuführen, um es mit neuen Antworten auf neue Fragen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zu verbinden.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Bereits jetzt ist der GMF weltweit bekannt, wie die Anwesenheit des Sekretärs der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Fédération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Internationale des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Professeurs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de Langues Vivantes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, Denis Cunningham, in Leipzig deutlich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macht.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Liebe Kolleginnen und Kollegen des Faches Englisch. Inzwischen ist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Englisch &amp;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Mehrsprachigkeit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gegründet. Die Gründungsversammlung hat sich einen Vorstand gegeben.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Im Vorfeld der Gründung wurden bereits Verhandlungen mit dem Diesterweg-Verlag geführt,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um Ihnen möglichst bald den Bezug einer qualitativ anspruchsvollen und an Ihren Interessen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orientierten Englischzeitschrift zu sichern. Weiteres hierzu erfahren sie auf der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homepage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von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E&amp;M. (http://www.englisch-und-mehr.de/). Ich verweise Sie an dieser Stelle auf das dortige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mission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-statement.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Der GMF mit allen seinen Verbänden wünscht sich einen starken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Englischlehrerverband für Mehrsprachigkeit. Ob dieser Wunsch in Erfüllung geht, hängt nun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von Ihnen ab. Daher meine herzliche Bitte: Stärken Sie den GMF, indem Sie im E&amp;M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Mitglied werden.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Auch ein Verband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Russisch &amp; Mehrsprachigkeit im GMF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hat sich gegründet. Unter seiner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Vorsitzenden, Dr. Christine Heyer, geht er nun daran, seine Strukturen aufzubauen. Dies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bedeutet, dass auch er in allernächster Zeit </w:t>
      </w:r>
      <w:proofErr w:type="gramStart"/>
      <w:r w:rsidRPr="00F94A5A">
        <w:rPr>
          <w:rFonts w:ascii="TimesNewRoman" w:hAnsi="TimesNewRoman" w:cs="TimesNewRoman"/>
          <w:sz w:val="24"/>
          <w:szCs w:val="24"/>
          <w:lang w:val="de-DE"/>
        </w:rPr>
        <w:t>eine eigene Internetpräsenz</w:t>
      </w:r>
      <w:proofErr w:type="gram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haben wird. R&amp;M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steht selbstverständlich allen Lehrenden der russischen Sprache offen. Solange die Internet-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Präsens von R&amp;M noch aussteht, nimmt der GMF stellvertretend für diese Anmeldungen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entgegen. Interessenten wenden sich einfach an mich und ich reiche dann Ihre Anmeldungen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weiter. Die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H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omepage des GMF berichtet selbstverständlich über Neuigkeiten.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Liebe Kolleginnen und Kollegen aller Verbände. Nun kommt es darauf an, aus den neuen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Voraussetzungen das Bestmögliche zu machen. Mit diesem Wunsch verbinde ich den Dank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an die vielen langjährig in allen Verbänden des GMF Engagierten zuvorderst jenen des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vormaligen FMF, aber auch den Appell, ihre Erfahrung weiterhin in ihre Verbände und auch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in den GMF einzubringen. Eindringlich und herzlich bitte ich die jungen Kolleginnen und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Kollegen, aus diesem sehr kurzen Rückblick auf 126 Jahre Verbandsgeschichte die Folgerung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abzuleiten, an der Fortsetzung dieser guten Tradition mitzuwirken. Ein erster Schritt hierzu ist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der Eintritt in einen GMF-Verband, ein weiterer das Engagement in unseren Verbänden.</w:t>
      </w:r>
    </w:p>
    <w:p w:rsidR="00F94A5A" w:rsidRPr="00F94A5A" w:rsidRDefault="00F94A5A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Ich möchte nicht schließen, ohne all jenen zu danken, die diesen Kongress vor Ort ermöglicht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haben: vorab den beiden Tagungspräsidenten, den Kollegen Erwin Tschirner und Norbert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Schlüter, sodann den Professorinnen Grit Mehlhorn und Karen Schramm. Des Weiteren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Irmgard Wanner vom Herder-Institut, Petra Knorr aus der Englischdidaktik, Dr. Roberto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lastRenderedPageBreak/>
        <w:t>Mann, Direktor des Sprachenzentrums, Dr. Olaf Bärenfänger vom Herder-Institut; den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studentischen Hilfskräften Britta Heine, Lavinia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Ionica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, Johanna Ilse, René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Zschoch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>, Giselle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proofErr w:type="spellStart"/>
      <w:r w:rsidRPr="00F94A5A">
        <w:rPr>
          <w:rFonts w:ascii="TimesNewRoman" w:hAnsi="TimesNewRoman" w:cs="TimesNewRoman"/>
          <w:sz w:val="24"/>
          <w:szCs w:val="24"/>
          <w:lang w:val="en-GB"/>
        </w:rPr>
        <w:t>Valman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en-GB"/>
        </w:rPr>
        <w:t xml:space="preserve">, Jenni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en-GB"/>
        </w:rPr>
        <w:t>Handschack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en-GB"/>
        </w:rPr>
        <w:t xml:space="preserve">, Stefanie Jung, Anna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en-GB"/>
        </w:rPr>
        <w:t>Rowek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en-GB"/>
        </w:rPr>
        <w:t>, Christian Morgenstern, Caterina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proofErr w:type="spellStart"/>
      <w:r w:rsidRPr="00F94A5A">
        <w:rPr>
          <w:rFonts w:ascii="TimesNewRoman" w:hAnsi="TimesNewRoman" w:cs="TimesNewRoman"/>
          <w:sz w:val="24"/>
          <w:szCs w:val="24"/>
          <w:lang w:val="en-GB"/>
        </w:rPr>
        <w:t>Rost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en-GB"/>
        </w:rPr>
        <w:t xml:space="preserve">, Monique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en-GB"/>
        </w:rPr>
        <w:t>Hempe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en-GB"/>
        </w:rPr>
        <w:t xml:space="preserve">, Laura Alves do Prado.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Last but not least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den Mitgliedern von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Programmkommission bzw. den Vorsitzenden der Verbände und Organisationskomitee. Ganz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herzlich aber danke ich Jupp Möhring, der sich „um alles kümmerte“.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Im Namen des GMF danke ich des Weiteren dem Kommissar für Mehrsprachigkeit in der EU,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Herrn Leonard Orban, und dem Staatsminister für Kultus des Landes Sachsen, Her</w:t>
      </w:r>
      <w:r w:rsidR="00F94A5A" w:rsidRPr="00F94A5A">
        <w:rPr>
          <w:rFonts w:ascii="TimesNewRoman" w:hAnsi="TimesNewRoman" w:cs="TimesNewRoman"/>
          <w:sz w:val="24"/>
          <w:szCs w:val="24"/>
          <w:lang w:val="de-DE"/>
        </w:rPr>
        <w:t>r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n Kurt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Flath, für die bereitwillige Übernahme der Schirmherrschaft sowie der Leipziger Universität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für ihre Gastfreundschaft. Wir bitten sie, die Entscheidung des GMF, diesen Kongress nach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Leipzig zu vergeben, als eine Anerkennung der Leipziger Fachdidaktiken zu interpretieren.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Der GMF hat sich vorgenommen, im Zweijahresturnus nationale Kongresse zu veranstalten.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Zurzeit prüfen mehrere Universitäten, ob sie sich um eine Kandidatur bewerben. Das GMF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-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Präsidium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kann derzeit noch keine Entscheid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ung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bezüglich des Ortes treffen. Unter der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Voraussetzung, dass ein geeigneter Ort gefunden wird und hieran zweifle ich nicht, darf ich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Ihnen zurufen: Der GMF freut sich darauf, Sie in zwei Jahren erneut auf seinem dann zweiten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Bundeskongress begrüßen zu dürfen.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b/>
          <w:sz w:val="24"/>
          <w:szCs w:val="24"/>
          <w:lang w:val="de-DE"/>
        </w:rPr>
        <w:t>Fußnoten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MS Gothic" w:eastAsia="MS Gothic" w:hAnsi="MS Gothic" w:cs="MS Gothic" w:hint="eastAsia"/>
          <w:sz w:val="13"/>
          <w:szCs w:val="13"/>
          <w:vertAlign w:val="superscript"/>
          <w:lang w:val="de-DE"/>
        </w:rPr>
        <w:t>∗</w:t>
      </w:r>
      <w:r w:rsidRPr="00F94A5A">
        <w:rPr>
          <w:rFonts w:ascii="SymbolMT" w:eastAsia="SymbolMT" w:hAnsi="TimesNewRoman" w:cs="SymbolMT"/>
          <w:sz w:val="13"/>
          <w:szCs w:val="13"/>
          <w:vertAlign w:val="superscript"/>
          <w:lang w:val="de-DE"/>
        </w:rPr>
        <w:t xml:space="preserve"> </w:t>
      </w:r>
      <w:r w:rsidRPr="00F94A5A">
        <w:rPr>
          <w:rFonts w:ascii="TimesNewRoman" w:hAnsi="TimesNewRoman" w:cs="TimesNewRoman"/>
          <w:sz w:val="20"/>
          <w:szCs w:val="20"/>
          <w:lang w:val="de-DE"/>
        </w:rPr>
        <w:t>Prof. Dr. Franz-Joseph Meißner (franz-joseph.meissner@sprachen.uni-giessen.de) bzw. www.unigiessen.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TimesNewRoman" w:hAnsi="TimesNewRoman" w:cs="TimesNewRoman"/>
          <w:sz w:val="20"/>
          <w:szCs w:val="20"/>
          <w:lang w:val="de-DE"/>
        </w:rPr>
        <w:t>de/</w:t>
      </w:r>
      <w:proofErr w:type="spellStart"/>
      <w:r w:rsidRPr="00F94A5A">
        <w:rPr>
          <w:rFonts w:ascii="TimesNewRoman" w:hAnsi="TimesNewRoman" w:cs="TimesNewRoman"/>
          <w:sz w:val="20"/>
          <w:szCs w:val="20"/>
          <w:lang w:val="de-DE"/>
        </w:rPr>
        <w:t>cms</w:t>
      </w:r>
      <w:proofErr w:type="spellEnd"/>
      <w:r w:rsidRPr="00F94A5A">
        <w:rPr>
          <w:rFonts w:ascii="TimesNewRoman" w:hAnsi="TimesNewRoman" w:cs="TimesNewRoman"/>
          <w:sz w:val="20"/>
          <w:szCs w:val="20"/>
          <w:lang w:val="de-DE"/>
        </w:rPr>
        <w:t>/</w:t>
      </w:r>
      <w:proofErr w:type="spellStart"/>
      <w:r w:rsidRPr="00F94A5A">
        <w:rPr>
          <w:rFonts w:ascii="TimesNewRoman" w:hAnsi="TimesNewRoman" w:cs="TimesNewRoman"/>
          <w:sz w:val="20"/>
          <w:szCs w:val="20"/>
          <w:lang w:val="de-DE"/>
        </w:rPr>
        <w:t>meissner</w:t>
      </w:r>
      <w:proofErr w:type="spellEnd"/>
      <w:r w:rsidRPr="00F94A5A">
        <w:rPr>
          <w:rFonts w:ascii="TimesNewRoman" w:hAnsi="TimesNewRoman" w:cs="TimesNewRoman"/>
          <w:sz w:val="20"/>
          <w:szCs w:val="20"/>
          <w:lang w:val="de-DE"/>
        </w:rPr>
        <w:t>/, Präsident des GMF. Die vorliegende Fassung wurde für den Druck aufbereitet und ist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TimesNewRoman" w:hAnsi="TimesNewRoman" w:cs="TimesNewRoman"/>
          <w:sz w:val="20"/>
          <w:szCs w:val="20"/>
          <w:lang w:val="de-DE"/>
        </w:rPr>
        <w:t>bis auf wenige Aktualisierungen mit der mündlich vorgetragenen Version identisch.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TimesNewRoman" w:hAnsi="TimesNewRoman" w:cs="TimesNewRoman"/>
          <w:sz w:val="13"/>
          <w:szCs w:val="13"/>
          <w:vertAlign w:val="superscript"/>
          <w:lang w:val="de-DE"/>
        </w:rPr>
        <w:t>1</w:t>
      </w:r>
      <w:r w:rsidRPr="00F94A5A">
        <w:rPr>
          <w:rFonts w:ascii="TimesNewRoman" w:hAnsi="TimesNewRoman" w:cs="TimesNewRoman"/>
          <w:sz w:val="13"/>
          <w:szCs w:val="13"/>
          <w:lang w:val="de-DE"/>
        </w:rPr>
        <w:t xml:space="preserve"> </w:t>
      </w:r>
      <w:proofErr w:type="gramStart"/>
      <w:r w:rsidRPr="00F94A5A">
        <w:rPr>
          <w:rFonts w:ascii="TimesNewRoman" w:hAnsi="TimesNewRoman" w:cs="TimesNewRoman"/>
          <w:sz w:val="20"/>
          <w:szCs w:val="20"/>
          <w:lang w:val="de-DE"/>
        </w:rPr>
        <w:t>Allerdings</w:t>
      </w:r>
      <w:proofErr w:type="gramEnd"/>
      <w:r w:rsidRPr="00F94A5A">
        <w:rPr>
          <w:rFonts w:ascii="TimesNewRoman" w:hAnsi="TimesNewRoman" w:cs="TimesNewRoman"/>
          <w:sz w:val="20"/>
          <w:szCs w:val="20"/>
          <w:lang w:val="de-DE"/>
        </w:rPr>
        <w:t xml:space="preserve"> schränken die </w:t>
      </w:r>
      <w:r w:rsidRPr="00F94A5A">
        <w:rPr>
          <w:rFonts w:ascii="TimesNewRoman,Italic" w:hAnsi="TimesNewRoman,Italic" w:cs="TimesNewRoman,Italic"/>
          <w:i/>
          <w:iCs/>
          <w:sz w:val="20"/>
          <w:szCs w:val="20"/>
          <w:lang w:val="de-DE"/>
        </w:rPr>
        <w:t>Einheitlichen Prüfungsanforderungen in der Abiturprüfung (EPA)</w:t>
      </w:r>
      <w:r w:rsidRPr="00F94A5A">
        <w:rPr>
          <w:rFonts w:ascii="TimesNewRoman" w:hAnsi="TimesNewRoman" w:cs="TimesNewRoman"/>
          <w:sz w:val="20"/>
          <w:szCs w:val="20"/>
          <w:lang w:val="de-DE"/>
        </w:rPr>
        <w:t>, die auf einen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TimesNewRoman" w:hAnsi="TimesNewRoman" w:cs="TimesNewRoman"/>
          <w:sz w:val="20"/>
          <w:szCs w:val="20"/>
          <w:lang w:val="de-DE"/>
        </w:rPr>
        <w:t xml:space="preserve">KMK-Beschluss aus dem Jahre 1989 zurückgehen und heute </w:t>
      </w:r>
      <w:proofErr w:type="spellStart"/>
      <w:r w:rsidRPr="00F94A5A">
        <w:rPr>
          <w:rFonts w:ascii="TimesNewRoman" w:hAnsi="TimesNewRoman" w:cs="TimesNewRoman"/>
          <w:sz w:val="20"/>
          <w:szCs w:val="20"/>
          <w:lang w:val="de-DE"/>
        </w:rPr>
        <w:t>i.d.F</w:t>
      </w:r>
      <w:proofErr w:type="spellEnd"/>
      <w:r w:rsidRPr="00F94A5A">
        <w:rPr>
          <w:rFonts w:ascii="TimesNewRoman" w:hAnsi="TimesNewRoman" w:cs="TimesNewRoman"/>
          <w:sz w:val="20"/>
          <w:szCs w:val="20"/>
          <w:lang w:val="de-DE"/>
        </w:rPr>
        <w:t>. vom 05.02.2004 Gültigkeit haben, diese</w:t>
      </w:r>
      <w:r w:rsidRPr="00F94A5A">
        <w:rPr>
          <w:rFonts w:ascii="TimesNewRoman" w:hAnsi="TimesNewRoman" w:cs="TimesNewRoman"/>
          <w:sz w:val="20"/>
          <w:szCs w:val="20"/>
          <w:lang w:val="de-DE"/>
        </w:rPr>
        <w:t xml:space="preserve"> </w:t>
      </w:r>
      <w:r w:rsidRPr="00F94A5A">
        <w:rPr>
          <w:rFonts w:ascii="TimesNewRoman" w:hAnsi="TimesNewRoman" w:cs="TimesNewRoman"/>
          <w:sz w:val="20"/>
          <w:szCs w:val="20"/>
          <w:lang w:val="de-DE"/>
        </w:rPr>
        <w:t>Bemerkung leicht ein, wenn auch Testformate und Testvalidität in ihnen noch keine wirkliche Rolle spielen.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TimesNewRoman" w:hAnsi="TimesNewRoman" w:cs="TimesNewRoman"/>
          <w:sz w:val="13"/>
          <w:szCs w:val="13"/>
          <w:vertAlign w:val="superscript"/>
          <w:lang w:val="de-DE"/>
        </w:rPr>
        <w:t>2</w:t>
      </w:r>
      <w:r w:rsidRPr="00F94A5A">
        <w:rPr>
          <w:rFonts w:ascii="TimesNewRoman" w:hAnsi="TimesNewRoman" w:cs="TimesNewRoman"/>
          <w:sz w:val="13"/>
          <w:szCs w:val="13"/>
          <w:lang w:val="de-DE"/>
        </w:rPr>
        <w:t xml:space="preserve"> </w:t>
      </w:r>
      <w:proofErr w:type="gramStart"/>
      <w:r w:rsidRPr="00F94A5A">
        <w:rPr>
          <w:rFonts w:ascii="TimesNewRoman" w:hAnsi="TimesNewRoman" w:cs="TimesNewRoman"/>
          <w:sz w:val="20"/>
          <w:szCs w:val="20"/>
          <w:lang w:val="de-DE"/>
        </w:rPr>
        <w:t>Zugleich</w:t>
      </w:r>
      <w:proofErr w:type="gramEnd"/>
      <w:r w:rsidRPr="00F94A5A">
        <w:rPr>
          <w:rFonts w:ascii="TimesNewRoman" w:hAnsi="TimesNewRoman" w:cs="TimesNewRoman"/>
          <w:sz w:val="20"/>
          <w:szCs w:val="20"/>
          <w:lang w:val="de-DE"/>
        </w:rPr>
        <w:t xml:space="preserve"> sind z.B. in Rheinland-Pfalz die Werte für Englisch hoch.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TimesNewRoman" w:hAnsi="TimesNewRoman" w:cs="TimesNewRoman"/>
          <w:sz w:val="13"/>
          <w:szCs w:val="13"/>
          <w:vertAlign w:val="superscript"/>
          <w:lang w:val="de-DE"/>
        </w:rPr>
        <w:t>3</w:t>
      </w:r>
      <w:r w:rsidRPr="00F94A5A">
        <w:rPr>
          <w:rFonts w:ascii="TimesNewRoman" w:hAnsi="TimesNewRoman" w:cs="TimesNewRoman"/>
          <w:sz w:val="13"/>
          <w:szCs w:val="13"/>
          <w:lang w:val="de-DE"/>
        </w:rPr>
        <w:t xml:space="preserve"> </w:t>
      </w:r>
      <w:r w:rsidRPr="00F94A5A">
        <w:rPr>
          <w:rFonts w:ascii="TimesNewRoman" w:hAnsi="TimesNewRoman" w:cs="TimesNewRoman"/>
          <w:sz w:val="20"/>
          <w:szCs w:val="20"/>
          <w:lang w:val="de-DE"/>
        </w:rPr>
        <w:t xml:space="preserve">Die Europäische Kommission </w:t>
      </w:r>
      <w:proofErr w:type="spellStart"/>
      <w:r w:rsidRPr="00F94A5A">
        <w:rPr>
          <w:rFonts w:ascii="TimesNewRoman" w:hAnsi="TimesNewRoman" w:cs="TimesNewRoman"/>
          <w:sz w:val="20"/>
          <w:szCs w:val="20"/>
          <w:lang w:val="de-DE"/>
        </w:rPr>
        <w:t>fördert</w:t>
      </w:r>
      <w:proofErr w:type="spellEnd"/>
      <w:r w:rsidRPr="00F94A5A">
        <w:rPr>
          <w:rFonts w:ascii="TimesNewRoman" w:hAnsi="TimesNewRoman" w:cs="TimesNewRoman"/>
          <w:sz w:val="20"/>
          <w:szCs w:val="20"/>
          <w:lang w:val="de-DE"/>
        </w:rPr>
        <w:t xml:space="preserve"> daher die Entwicklung von international verwertbaren Instrumentarien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TimesNewRoman" w:hAnsi="TimesNewRoman" w:cs="TimesNewRoman"/>
          <w:sz w:val="20"/>
          <w:szCs w:val="20"/>
          <w:lang w:val="de-DE"/>
        </w:rPr>
        <w:t>zur Messung von kommunikativen Kompetenzen auch in zweiten und dritten Fremdsprachen. Dies ist jedoch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  <w:lang w:val="de-DE"/>
        </w:rPr>
      </w:pPr>
      <w:r w:rsidRPr="00F94A5A">
        <w:rPr>
          <w:rFonts w:ascii="TimesNewRoman" w:hAnsi="TimesNewRoman" w:cs="TimesNewRoman"/>
          <w:sz w:val="20"/>
          <w:szCs w:val="20"/>
          <w:lang w:val="de-DE"/>
        </w:rPr>
        <w:t>schwer, weil die zum Zeitpunkt der Messung erreichte Sprachkompetenz noch sehr gering ist. (MES)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lang w:val="de-DE"/>
        </w:rPr>
      </w:pPr>
      <w:r w:rsidRPr="00F94A5A">
        <w:rPr>
          <w:rFonts w:ascii="TimesNewRoman,Bold" w:hAnsi="TimesNewRoman,Bold" w:cs="TimesNewRoman,Bold"/>
          <w:b/>
          <w:bCs/>
          <w:sz w:val="24"/>
          <w:szCs w:val="24"/>
          <w:lang w:val="de-DE"/>
        </w:rPr>
        <w:t>Referenzen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Bausch, K.-Richard. Christ, Herbert, Hüller, Werner &amp; Krumm, Hans-Jürgen (H</w:t>
      </w:r>
      <w:r w:rsidR="00F94A5A">
        <w:rPr>
          <w:rFonts w:ascii="TimesNewRoman" w:hAnsi="TimesNewRoman" w:cs="TimesNewRoman"/>
          <w:sz w:val="24"/>
          <w:szCs w:val="24"/>
          <w:lang w:val="de-DE"/>
        </w:rPr>
        <w:t>r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sg.) (1988):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Fortschritt und Fortschritte im Fremdsprachenunterricht. Arbeitspapiere der 8.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Frühjahrskonferenz zur Erforschung des Fremdsprachenunterrichts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. Tübingen: Narr.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r w:rsidRPr="00F94A5A">
        <w:rPr>
          <w:rFonts w:ascii="TimesNewRoman" w:hAnsi="TimesNewRoman" w:cs="TimesNewRoman"/>
          <w:sz w:val="24"/>
          <w:szCs w:val="24"/>
          <w:lang w:val="en-GB"/>
        </w:rPr>
        <w:t>EPA: http://www.schule-bw.de/schularten/gymnasium/zentralepruefungen/abitur/epa.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en-GB"/>
        </w:rPr>
        <w:t xml:space="preserve">Eurydice (2005):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en-GB"/>
        </w:rPr>
        <w:t>Key Data on Teaching Languages at School in Europe</w:t>
      </w:r>
      <w:r w:rsidRPr="00F94A5A">
        <w:rPr>
          <w:rFonts w:ascii="TimesNewRoman" w:hAnsi="TimesNewRoman" w:cs="TimesNewRoman"/>
          <w:sz w:val="24"/>
          <w:szCs w:val="24"/>
          <w:lang w:val="en-GB"/>
        </w:rPr>
        <w:t xml:space="preserve">.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2005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edition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>.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Köller, Olaf. Trautwein, Ulrich. Cortina, Kai S. &amp; Baumert, Jürgen: Rezeptive Kompetenzen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in Englisch am Ende der gymnasialen Oberstufe.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Unterrichtswissenschaft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24, 2006/H. 3,</w:t>
      </w:r>
    </w:p>
    <w:p w:rsidR="007011D1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230-255.</w:t>
      </w:r>
    </w:p>
    <w:p w:rsidR="00F94A5A" w:rsidRPr="00F94A5A" w:rsidRDefault="00F94A5A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Meißner, Franz-Joseph &amp; Beckmann, Christine (2008):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Studierende äußern sich zu ihren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schulischen Erfahrungen mit Fremdsprachen (1995-2005) und zu ihren sprachlichen</w:t>
      </w:r>
    </w:p>
    <w:p w:rsidR="007011D1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Orientierungen. Eine quantitative Analyse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. Tübingen: Narr (im Druck).</w:t>
      </w:r>
    </w:p>
    <w:p w:rsidR="00F94A5A" w:rsidRPr="00F94A5A" w:rsidRDefault="00F94A5A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lastRenderedPageBreak/>
        <w:t>Meißner, Franz-Joseph &amp; Lang, Andreas (2005): Fremdsprachenunterricht in Deutschland in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der Jahrgangsstufe 12 des Gymnasiums im Europäischen Jahr der Sprachen (2000/1).</w:t>
      </w:r>
    </w:p>
    <w:p w:rsidR="007011D1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Zeitschrift für Fremdsprachenforschung,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16(2), 187-216.</w:t>
      </w:r>
    </w:p>
    <w:p w:rsidR="00F94A5A" w:rsidRPr="00F94A5A" w:rsidRDefault="00F94A5A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>Schirp, H</w:t>
      </w:r>
      <w:r w:rsidR="00F94A5A">
        <w:rPr>
          <w:rFonts w:ascii="TimesNewRoman" w:hAnsi="TimesNewRoman" w:cs="TimesNewRoman"/>
          <w:sz w:val="24"/>
          <w:szCs w:val="24"/>
          <w:lang w:val="de-DE"/>
        </w:rPr>
        <w:t>ei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nz (2006): Zentrale und quantitative Leistungsmessungen und qualitative</w:t>
      </w: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Schulentwicklung. Die Wirkungen von High Stakes Tests in den USA. </w:t>
      </w: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>Die Deutsche</w:t>
      </w:r>
    </w:p>
    <w:p w:rsidR="007011D1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de-DE"/>
        </w:rPr>
        <w:t xml:space="preserve">Schule </w:t>
      </w:r>
      <w:r w:rsidRPr="00F94A5A">
        <w:rPr>
          <w:rFonts w:ascii="TimesNewRoman" w:hAnsi="TimesNewRoman" w:cs="TimesNewRoman"/>
          <w:sz w:val="24"/>
          <w:szCs w:val="24"/>
          <w:lang w:val="de-DE"/>
        </w:rPr>
        <w:t>98, 2006 (4), 422-435.</w:t>
      </w:r>
    </w:p>
    <w:p w:rsidR="00F94A5A" w:rsidRPr="00F94A5A" w:rsidRDefault="00F94A5A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de-DE"/>
        </w:rPr>
      </w:pPr>
    </w:p>
    <w:p w:rsidR="007011D1" w:rsidRPr="00F94A5A" w:rsidRDefault="007011D1" w:rsidP="007011D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Schröder, Konrad (1992):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Difficile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est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satiram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 non </w:t>
      </w:r>
      <w:proofErr w:type="spellStart"/>
      <w:r w:rsidRPr="00F94A5A">
        <w:rPr>
          <w:rFonts w:ascii="TimesNewRoman" w:hAnsi="TimesNewRoman" w:cs="TimesNewRoman"/>
          <w:sz w:val="24"/>
          <w:szCs w:val="24"/>
          <w:lang w:val="de-DE"/>
        </w:rPr>
        <w:t>scribere</w:t>
      </w:r>
      <w:proofErr w:type="spellEnd"/>
      <w:r w:rsidRPr="00F94A5A">
        <w:rPr>
          <w:rFonts w:ascii="TimesNewRoman" w:hAnsi="TimesNewRoman" w:cs="TimesNewRoman"/>
          <w:sz w:val="24"/>
          <w:szCs w:val="24"/>
          <w:lang w:val="de-DE"/>
        </w:rPr>
        <w:t xml:space="preserve">.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en-GB"/>
        </w:rPr>
        <w:t>Neusprachliche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en-GB"/>
        </w:rPr>
        <w:t xml:space="preserve"> </w:t>
      </w:r>
      <w:proofErr w:type="spellStart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en-GB"/>
        </w:rPr>
        <w:t>Mitteilungen</w:t>
      </w:r>
      <w:proofErr w:type="spellEnd"/>
      <w:r w:rsidRPr="00F94A5A">
        <w:rPr>
          <w:rFonts w:ascii="TimesNewRoman,Italic" w:hAnsi="TimesNewRoman,Italic" w:cs="TimesNewRoman,Italic"/>
          <w:i/>
          <w:iCs/>
          <w:sz w:val="24"/>
          <w:szCs w:val="24"/>
          <w:lang w:val="en-GB"/>
        </w:rPr>
        <w:t xml:space="preserve"> </w:t>
      </w:r>
      <w:r w:rsidRPr="00F94A5A">
        <w:rPr>
          <w:rFonts w:ascii="TimesNewRoman" w:hAnsi="TimesNewRoman" w:cs="TimesNewRoman"/>
          <w:sz w:val="24"/>
          <w:szCs w:val="24"/>
          <w:lang w:val="en-GB"/>
        </w:rPr>
        <w:t>45,</w:t>
      </w:r>
    </w:p>
    <w:p w:rsidR="002F33B9" w:rsidRPr="00F94A5A" w:rsidRDefault="007011D1" w:rsidP="00F94A5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en-GB"/>
        </w:rPr>
      </w:pPr>
      <w:r w:rsidRPr="00F94A5A">
        <w:rPr>
          <w:rFonts w:ascii="TimesNewRoman" w:hAnsi="TimesNewRoman" w:cs="TimesNewRoman"/>
          <w:sz w:val="24"/>
          <w:szCs w:val="24"/>
          <w:lang w:val="en-GB"/>
        </w:rPr>
        <w:t>208-209.</w:t>
      </w:r>
    </w:p>
    <w:sectPr w:rsidR="002F33B9" w:rsidRPr="00F94A5A" w:rsidSect="00F94A5A">
      <w:pgSz w:w="12240" w:h="15840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26B6A5-E39D-4399-8424-9FF853265BDA}"/>
    <w:embedBold r:id="rId2" w:fontKey="{882DA663-96F1-49B2-B80B-8D1E5DFC7733}"/>
    <w:embedItalic r:id="rId3" w:fontKey="{DC2CB0F6-B735-4F87-B4DB-6356D2CDF2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AB6F9732-A1ED-4955-9E64-865B247787A3}"/>
  </w:font>
  <w:font w:name="SymbolMT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E2CDEBA-8F63-4252-A347-3C491599010E}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863C722-C902-4CA2-A544-6778E2542E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1D1"/>
    <w:rsid w:val="001A24E5"/>
    <w:rsid w:val="00444AAB"/>
    <w:rsid w:val="0068732B"/>
    <w:rsid w:val="006F0A22"/>
    <w:rsid w:val="007011D1"/>
    <w:rsid w:val="00757526"/>
    <w:rsid w:val="007A4A31"/>
    <w:rsid w:val="00AB4237"/>
    <w:rsid w:val="00C54AED"/>
    <w:rsid w:val="00F70924"/>
    <w:rsid w:val="00F94A5A"/>
    <w:rsid w:val="00FD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33B2"/>
  <w15:chartTrackingRefBased/>
  <w15:docId w15:val="{1E4AFB19-F80C-49B6-B633-538F54839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4">
    <w:name w:val="heading 4"/>
    <w:aliases w:val="Arial 14 fett"/>
    <w:basedOn w:val="NurText"/>
    <w:next w:val="Standard"/>
    <w:link w:val="berschrift4Zchn"/>
    <w:uiPriority w:val="9"/>
    <w:unhideWhenUsed/>
    <w:qFormat/>
    <w:rsid w:val="00757526"/>
    <w:pPr>
      <w:keepNext/>
      <w:outlineLvl w:val="3"/>
    </w:pPr>
    <w:rPr>
      <w:rFonts w:ascii="Arial" w:eastAsia="Times New Roman" w:hAnsi="Arial" w:cs="Courier New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aliases w:val="Arial 14 fett Zchn"/>
    <w:link w:val="berschrift4"/>
    <w:uiPriority w:val="9"/>
    <w:rsid w:val="00757526"/>
    <w:rPr>
      <w:rFonts w:ascii="Arial" w:eastAsia="Times New Roman" w:hAnsi="Arial" w:cs="Courier New"/>
      <w:b/>
      <w:bCs/>
      <w:sz w:val="28"/>
      <w:szCs w:val="28"/>
    </w:rPr>
  </w:style>
  <w:style w:type="paragraph" w:styleId="NurText">
    <w:name w:val="Plain Text"/>
    <w:basedOn w:val="Standard"/>
    <w:link w:val="NurTextZchn"/>
    <w:uiPriority w:val="99"/>
    <w:semiHidden/>
    <w:unhideWhenUsed/>
    <w:rsid w:val="0075752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57526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3164</Words>
  <Characters>19934</Characters>
  <Application>Microsoft Office Word</Application>
  <DocSecurity>0</DocSecurity>
  <Lines>166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Berthelmann</dc:creator>
  <cp:keywords/>
  <dc:description/>
  <cp:lastModifiedBy>Felix Berthelmann</cp:lastModifiedBy>
  <cp:revision>1</cp:revision>
  <dcterms:created xsi:type="dcterms:W3CDTF">2018-02-27T14:41:00Z</dcterms:created>
  <dcterms:modified xsi:type="dcterms:W3CDTF">2018-02-27T14:57:00Z</dcterms:modified>
</cp:coreProperties>
</file>